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SH_GERICHTE Nr. 51/2025/9 vom 28. Februar 2025</w:t>
      </w:r>
    </w:p>
    <w:p>
      <w:r>
        <w:t>SH Obergericht, 2025-02-28, DE</w:t>
      </w:r>
    </w:p>
    <w:p>
      <w:r>
        <w:rPr>
          <w:b/>
        </w:rPr>
        <w:t xml:space="preserve">Quelle: </w:t>
      </w:r>
      <w:r>
        <w:t>https://mcp.opencaselaw.ch/entscheid/sh_gerichte_Nr. 51_2025_9</w:t>
      </w:r>
    </w:p>
    <w:p>
      <w:r>
        <w:t>FR: SH_GERICHTE Nr. 51/2025/9 du 28 février 2025</w:t>
      </w:r>
    </w:p>
    <w:p>
      <w:r>
        <w:t>IT: SH_GERICHTE Nr. 51/2025/9 del 28 febbraio 2025</w:t>
      </w:r>
    </w:p>
    <w:p>
      <w:pPr>
        <w:pStyle w:val="Heading2"/>
      </w:pPr>
      <w:r>
        <w:t>Volltext</w:t>
      </w:r>
    </w:p>
    <w:p>
      <w:r>
        <w:t>Die Zustellfiktion kommt auch bei der Zustellung von Strafentscheiden nach Deutschland zur Anwendung (E. 2.2.). OGE 51/2025/9 vom 28. Februar 2025 gegebenenfalls:(Eine Beschwerde in Strafsachen gegen diese Verfügung wies das Bundesgericht mit Urteil 6B_225/2025 vom 30. April 2025 ab.) Keine Veröffentlichung im Amtsbericht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